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r w:rsidRPr="008B6D7A">
        <w:rPr>
          <w:rFonts w:ascii="CMU Serif Roman" w:eastAsia="CMU Serif Roman" w:hAnsi="CMU Serif Roman" w:cs="CMU Serif Roman"/>
          <w:sz w:val="28"/>
          <w:szCs w:val="28"/>
        </w:rPr>
        <w:t>Phylogenomics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1,2,</w:t>
      </w:r>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D2060B"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distantly-related radiations. We present a phylogenomic hypothesis based on an exon-capture dataset that spans the main clades of Australian myobatrachoid, pelodryadid hylids, and microhylid frogs. Our time-calibrated phylogenomic-scale phylogeny identifies great disparity in the relative ages of these groups which vary from Gondwanan relics to recent Asian immigrants 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Frogs are an ancient vertebrate radiation originating in the Permian more than 250 million years ago (Hime et al. 2021). They share a unique and unusual morphology yet are a spectacularly successful group, with more than 7,500 extant species spread across most of the world (AmphibiaWeb 2022). Despite their age, much of this diversity, potentially more than 95%, has developed since the Cretaceous-Paleogene mass extinction (65 mya) (Feng et al. 2017). Australia is one of the driest continents on Earth yet, surprisingly, it is home to nearly 250 frog species. Australia’s frogs belong to just four anuran groups spread widely across the “modern frog” suborder Neobatrachia: (1) Myobatrachoidea comprising the Limnodynastidae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66 species) and Myobatrachidae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70 spp.); (2) Hyloidea represented by the family Pelodryadidae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91 spp.); (3) the Microhylidae subfamily Asterophryinae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Ranidae species in the genus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Anstis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254EE816"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We assembled an exon-capture dataset comprising 99 frog species spanning all major anuran clades and with particular focus on the families Pelodryadidae, Microhylidae, Limnodynastidae and Myobatrachidae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Hime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r w:rsidRPr="008B6D7A">
        <w:rPr>
          <w:rFonts w:ascii="CMU Serif Roman" w:eastAsia="CMU Serif Roman" w:hAnsi="CMU Serif Roman" w:cs="CMU Serif Roman"/>
          <w:i/>
          <w:sz w:val="24"/>
          <w:szCs w:val="24"/>
        </w:rPr>
        <w:t>metablastr</w:t>
      </w:r>
      <w:r w:rsidRPr="008B6D7A">
        <w:rPr>
          <w:rFonts w:ascii="CMU Serif Roman" w:eastAsia="CMU Serif Roman" w:hAnsi="CMU Serif Roman" w:cs="CMU Serif Roman"/>
          <w:sz w:val="24"/>
          <w:szCs w:val="24"/>
        </w:rPr>
        <w:t xml:space="preserve"> to identify orthologous loci (</w:t>
      </w:r>
      <w:r w:rsidRPr="008B6D7A">
        <w:rPr>
          <w:rFonts w:ascii="CMU Serif Roman" w:eastAsia="CMU Serif Roman" w:hAnsi="CMU Serif Roman" w:cs="CMU Serif Roman"/>
          <w:i/>
          <w:sz w:val="24"/>
          <w:szCs w:val="24"/>
        </w:rPr>
        <w:t>blast_best_reciprocal_hit</w:t>
      </w:r>
      <w:r w:rsidRPr="008B6D7A">
        <w:rPr>
          <w:rFonts w:ascii="CMU Serif Roman" w:eastAsia="CMU Serif Roman" w:hAnsi="CMU Serif Roman" w:cs="CMU Serif Roman"/>
          <w:sz w:val="24"/>
          <w:szCs w:val="24"/>
        </w:rPr>
        <w:t xml:space="preserve">) (Benoit &amp; Drost 2021), </w:t>
      </w:r>
      <w:r w:rsidRPr="008B6D7A">
        <w:rPr>
          <w:rFonts w:ascii="CMU Serif Roman" w:eastAsia="CMU Serif Roman" w:hAnsi="CMU Serif Roman" w:cs="CMU Serif Roman"/>
          <w:i/>
          <w:sz w:val="24"/>
          <w:szCs w:val="24"/>
        </w:rPr>
        <w:t>mafft</w:t>
      </w:r>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--keeplength</w:t>
      </w:r>
      <w:r w:rsidRPr="008B6D7A">
        <w:rPr>
          <w:rFonts w:ascii="CMU Serif Roman" w:eastAsia="CMU Serif Roman" w:hAnsi="CMU Serif Roman" w:cs="CMU Serif Roman"/>
          <w:sz w:val="24"/>
          <w:szCs w:val="24"/>
        </w:rPr>
        <w:t xml:space="preserve">) (Katoh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(Borowiec 2016). We reconstructed individual genealogies for our exon-capture data (n = 450) under maximum-likelihood in IQTREE (Nguyen et al. 2015), allowing the program to assign the best fitting model of nucleotide substitution using ModelFinder (Kalyaanamoorthy et al. 2017) and then perform 1,000 ultrafast bootstraps (Minh et al. 2013). We then estimated a species tree using the quartet-based summary method ASTRAL III (Zhang et al. 2018) with IQTREE gene trees as input. To estimate divergence times among taxa we applied a series of fossil calibrations first compiled by Feng et al. (2019) (Table S2) and used the Bayesian divergence time software MCMCtree (Rannala &amp; Young 2007). We started by concatenating all loci and partitioning them into two partitions, first and </w:t>
      </w:r>
      <w:r w:rsidRPr="008B6D7A">
        <w:rPr>
          <w:rFonts w:ascii="CMU Serif Roman" w:eastAsia="CMU Serif Roman" w:hAnsi="CMU Serif Roman" w:cs="CMU Serif Roman"/>
          <w:sz w:val="24"/>
          <w:szCs w:val="24"/>
        </w:rPr>
        <w:lastRenderedPageBreak/>
        <w:t xml:space="preserve">second codons together, and third codons separately. We then used </w:t>
      </w:r>
      <w:r w:rsidRPr="008B6D7A">
        <w:rPr>
          <w:rFonts w:ascii="CMU Serif Roman" w:eastAsia="CMU Serif Roman" w:hAnsi="CMU Serif Roman" w:cs="CMU Serif Roman"/>
          <w:i/>
          <w:sz w:val="24"/>
          <w:szCs w:val="24"/>
        </w:rPr>
        <w:t>baseml</w:t>
      </w:r>
      <w:r w:rsidRPr="008B6D7A">
        <w:rPr>
          <w:rFonts w:ascii="CMU Serif Roman" w:eastAsia="CMU Serif Roman" w:hAnsi="CMU Serif Roman" w:cs="CMU Serif Roman"/>
          <w:sz w:val="24"/>
          <w:szCs w:val="24"/>
        </w:rPr>
        <w:t xml:space="preserve"> to estimate approximate likelihoods (dos Reis &amp; Yang 2011) and branch lengths before running </w:t>
      </w:r>
      <w:r w:rsidRPr="008B6D7A">
        <w:rPr>
          <w:rFonts w:ascii="CMU Serif Roman" w:eastAsia="CMU Serif Roman" w:hAnsi="CMU Serif Roman" w:cs="CMU Serif Roman"/>
          <w:i/>
          <w:sz w:val="24"/>
          <w:szCs w:val="24"/>
        </w:rPr>
        <w:t>mcmctree</w:t>
      </w:r>
      <w:r w:rsidRPr="008B6D7A">
        <w:rPr>
          <w:rFonts w:ascii="CMU Serif Roman" w:eastAsia="CMU Serif Roman" w:hAnsi="CMU Serif Roman" w:cs="CMU Serif Roman"/>
          <w:sz w:val="24"/>
          <w:szCs w:val="24"/>
        </w:rPr>
        <w:t xml:space="preserve"> on the gradient and Hessian (in.BV file) for ten replicate analyses. We inspected mcmc files for stationarity and compared for convergence, then combined them using logCombiner, and used this combined mcmc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.ctl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(NNNN)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29642FE3"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Crown divergences of the three Australian frog radiations can be clearly separated into old (Myobatrachidae and Limnodynastidae–80 mya), intermediate (Pelodryadidae–30 mya), and young (Asterophryinae–11 mya) (Fig.2). The youngest Australian group, microhylids in the genera </w:t>
      </w:r>
      <w:r w:rsidRPr="008B6D7A">
        <w:rPr>
          <w:rFonts w:ascii="CMU Serif Roman" w:eastAsia="CMU Serif Roman" w:hAnsi="CMU Serif Roman" w:cs="CMU Serif Roman"/>
          <w:i/>
          <w:sz w:val="24"/>
          <w:szCs w:val="24"/>
        </w:rPr>
        <w:t xml:space="preserve">Austrochaperina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are embedded deeply within the subfamily Asterophryinae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mya) invasions of Australia from New Guinea. Pelodryadidae tree frogs also share a complex biogeographic history across Australasia, with several species groups split across the Torres Strait (separating Australia and New Guinea), suggesting frequent biotic exchange. However, the origins of the Pelodryadidae are far older. Their closest relatives are the iconic Phyllomedusidae found throughout Central and South America, with the crown split between extant Pelodryadidae in Australia/New Guinea and South America estimated at approximately 40 million years ago. Australian myobatrachids and limnodynastids also have their closest relatives in South America—the Calyptocephallelidae, represented here by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the Helmeted Water Toad of Chile. The crown split between extant myobatrachoids in </w:t>
      </w:r>
      <w:r w:rsidRPr="008B6D7A">
        <w:rPr>
          <w:rFonts w:ascii="CMU Serif Roman" w:eastAsia="CMU Serif Roman" w:hAnsi="CMU Serif Roman" w:cs="CMU Serif Roman"/>
          <w:sz w:val="24"/>
          <w:szCs w:val="24"/>
        </w:rPr>
        <w:lastRenderedPageBreak/>
        <w:t>Australia and Chile is ancient, occurring more than 100 million years ago. The remaining phylogenomic topology and divergence estimates of frogs are broadly consistent with previous results (Feng et al. 2017; Hime et al. 2021) (Fig.2, S4</w:t>
      </w:r>
      <w:r w:rsidR="008B05FB">
        <w:rPr>
          <w:rFonts w:ascii="CMU Serif Roman" w:eastAsia="CMU Serif Roman" w:hAnsi="CMU Serif Roman" w:cs="CMU Serif Roman"/>
          <w:sz w:val="24"/>
          <w:szCs w:val="24"/>
        </w:rPr>
        <w:t>, S5</w:t>
      </w:r>
      <w:r w:rsidRPr="008B6D7A">
        <w:rPr>
          <w:rFonts w:ascii="CMU Serif Roman" w:eastAsia="CMU Serif Roman" w:hAnsi="CMU Serif Roman" w:cs="CMU Serif Roman"/>
          <w:sz w:val="24"/>
          <w:szCs w:val="24"/>
        </w:rPr>
        <w:t xml:space="preserve">). </w:t>
      </w:r>
    </w:p>
    <w:p w14:paraId="6157BCC6"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5BE0ECA3">
            <wp:extent cx="3843020" cy="6956081"/>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15420314"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1. Australian frogs show a pattern of increasing species richness with precipitation</w:t>
      </w:r>
      <w:r w:rsidR="00FC6527">
        <w:rPr>
          <w:rFonts w:ascii="CMU Serif Roman" w:eastAsia="CMU Serif Roman" w:hAnsi="CMU Serif Roman" w:cs="CMU Serif Roman"/>
          <w:sz w:val="24"/>
          <w:szCs w:val="24"/>
        </w:rPr>
        <w:t>, and with time</w:t>
      </w:r>
      <w:r w:rsidRPr="008B6D7A">
        <w:rPr>
          <w:rFonts w:ascii="CMU Serif Roman" w:eastAsia="CMU Serif Roman" w:hAnsi="CMU Serif Roman" w:cs="CMU Serif Roman"/>
          <w:sz w:val="24"/>
          <w:szCs w:val="24"/>
        </w:rPr>
        <w:t xml:space="preserve">. </w:t>
      </w:r>
      <w:r w:rsidR="00D55B80" w:rsidRPr="008B6D7A">
        <w:rPr>
          <w:rFonts w:ascii="CMU Serif Roman" w:eastAsia="CMU Serif Roman" w:hAnsi="CMU Serif Roman" w:cs="CMU Serif Roman"/>
          <w:sz w:val="24"/>
          <w:szCs w:val="24"/>
        </w:rPr>
        <w:t>Above, m</w:t>
      </w:r>
      <w:r w:rsidRPr="008B6D7A">
        <w:rPr>
          <w:rFonts w:ascii="CMU Serif Roman" w:eastAsia="CMU Serif Roman" w:hAnsi="CMU Serif Roman" w:cs="CMU Serif Roman"/>
          <w:sz w:val="24"/>
          <w:szCs w:val="24"/>
        </w:rPr>
        <w:t xml:space="preserve">aps of richness for the three focal radiations (with Limnodynastidae and Myobatrachidae presented together as Myobatrachoidea) </w:t>
      </w:r>
      <w:r w:rsidRPr="008B6D7A">
        <w:rPr>
          <w:rFonts w:ascii="CMU Serif Roman" w:eastAsia="CMU Serif Roman" w:hAnsi="CMU Serif Roman" w:cs="CMU Serif Roman"/>
          <w:sz w:val="24"/>
          <w:szCs w:val="24"/>
        </w:rPr>
        <w:lastRenderedPageBreak/>
        <w:t xml:space="preserve">are plotted alongside a map showing total annual precipitation. Greatest richness is concentrated along Australia’s east coast, however this pattern falls away in cold areas of the far southeast, particularly </w:t>
      </w:r>
      <w:r w:rsidR="00516468" w:rsidRPr="008B6D7A">
        <w:rPr>
          <w:rFonts w:ascii="CMU Serif Roman" w:eastAsia="CMU Serif Roman" w:hAnsi="CMU Serif Roman" w:cs="CMU Serif Roman"/>
          <w:sz w:val="24"/>
          <w:szCs w:val="24"/>
        </w:rPr>
        <w:t>in</w:t>
      </w:r>
      <w:r w:rsidRPr="008B6D7A">
        <w:rPr>
          <w:rFonts w:ascii="CMU Serif Roman" w:eastAsia="CMU Serif Roman" w:hAnsi="CMU Serif Roman" w:cs="CMU Serif Roman"/>
          <w:sz w:val="24"/>
          <w:szCs w:val="24"/>
        </w:rPr>
        <w:t xml:space="preserve"> southwest Tasmania. Species occurrence records were collated from the Atlas of Living Australia (https://ala.org.au). Below, Australian radiations can be divided broadly into (1) relictual Gondwanan clades &gt;40 myo</w:t>
      </w:r>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58E61D5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all of Australia’s frog genera and major clades of the mega-genus </w:t>
      </w:r>
      <w:r w:rsidRPr="008B6D7A">
        <w:rPr>
          <w:rFonts w:ascii="CMU Serif Roman" w:eastAsia="CMU Serif Roman" w:hAnsi="CMU Serif Roman" w:cs="CMU Serif Roman"/>
          <w:i/>
          <w:sz w:val="24"/>
          <w:szCs w:val="24"/>
        </w:rPr>
        <w:t>Litoria</w:t>
      </w:r>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means each radiation established itself in a very different incarnation of the continent. Across these eras Australia has flourished through a warm and wet Eocene, cooling and drying following the onset of Antarctic glaciation in the Oligocene, warm and forested Miocene, and a gradual aridification leading to its present status (Byrne et al. 2011, Pross et al. 2012, Macphail &amp; Hill 2018, Mao &amp; Retallack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03AF3595"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The Myobatrachidae and Limnodynastidae (together</w:t>
      </w:r>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 xml:space="preserve">yobatrachoids)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(one species</w:t>
      </w:r>
      <w:r w:rsidR="00813DBE" w:rsidRPr="00813DBE">
        <w:rPr>
          <w:rFonts w:ascii="CMU Serif Roman" w:hAnsi="CMU Serif Roman" w:cs="CMU Serif Roman"/>
          <w:sz w:val="24"/>
          <w:szCs w:val="24"/>
          <w:highlight w:val="white"/>
        </w:rPr>
        <w:t>—</w:t>
      </w:r>
      <w:r w:rsidR="00813DBE" w:rsidRPr="00813DBE">
        <w:rPr>
          <w:rFonts w:ascii="CMU Serif Roman" w:hAnsi="CMU Serif Roman" w:cs="CMU Serif Roman"/>
          <w:i/>
          <w:iCs/>
          <w:sz w:val="24"/>
          <w:szCs w:val="24"/>
        </w:rPr>
        <w:t>Lechriodus aganoposis</w:t>
      </w:r>
      <w:r w:rsidR="00813DBE" w:rsidRPr="00813DBE">
        <w:rPr>
          <w:rFonts w:ascii="CMU Serif Roman" w:hAnsi="CMU Serif Roman" w:cs="CMU Serif Roman"/>
          <w:sz w:val="24"/>
          <w:szCs w:val="24"/>
        </w:rPr>
        <w:t xml:space="preserve"> is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r w:rsidRPr="008B6D7A">
        <w:rPr>
          <w:rFonts w:ascii="CMU Serif Roman" w:eastAsia="CMU Serif Roman" w:hAnsi="CMU Serif Roman" w:cs="CMU Serif Roman"/>
          <w:i/>
          <w:sz w:val="24"/>
          <w:szCs w:val="24"/>
        </w:rPr>
        <w:t xml:space="preserve">Calyptocephallela </w:t>
      </w:r>
      <w:r w:rsidRPr="008B6D7A">
        <w:rPr>
          <w:rFonts w:ascii="CMU Serif Roman" w:eastAsia="CMU Serif Roman" w:hAnsi="CMU Serif Roman" w:cs="CMU Serif Roman"/>
          <w:sz w:val="24"/>
          <w:szCs w:val="24"/>
        </w:rPr>
        <w:t>(roughly 100 mya;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early divergences among the Australian myobatrachoids, principally between myobatrachids and limnodynastids, occurred in the late Cretaceous (80–70 mya), preceding the isolation of Australia from Antarctica. This dates to a time when South America, Antarctica, and Australia were a continuous landmass that was likely temperate in climate (Palazzesi &amp; Barreda 2007; Mörs et al. 2020). The phylogenetic depth and distribution of myobatrachoids</w:t>
      </w:r>
      <w:r w:rsidR="002F7EDC">
        <w:rPr>
          <w:rFonts w:ascii="CMU Serif Roman" w:eastAsia="CMU Serif Roman" w:hAnsi="CMU Serif Roman" w:cs="CMU Serif Roman"/>
          <w:sz w:val="24"/>
          <w:szCs w:val="24"/>
        </w:rPr>
        <w:t xml:space="preserve"> (including </w:t>
      </w:r>
      <w:r w:rsidR="002F7EDC">
        <w:rPr>
          <w:rFonts w:ascii="CMU Serif Roman" w:eastAsia="CMU Serif Roman" w:hAnsi="CMU Serif Roman" w:cs="CMU Serif Roman"/>
          <w:i/>
          <w:iCs/>
          <w:sz w:val="24"/>
          <w:szCs w:val="24"/>
        </w:rPr>
        <w:t>Calyptocephallela</w:t>
      </w:r>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calyptocephallelid from mid-Miocene Antarctica that lived more than 40 mya (Mörs et al. 2020). The persistence of calyptocephallelids in Antarctica into the Late Eocene highlights the dichotomy between young extant myobatrachid and limnodynastid diversity (most species &lt; 30 mya) and ancient splits between limnodynastids and myobatrachids and within limnodynastids (&gt; 70 mya). These long branches are likely the survivors of a much greater southern Gondwanan myobatrachoid diversity, potentially mirroring the diversity of </w:t>
      </w:r>
      <w:r w:rsidR="000E65F8">
        <w:rPr>
          <w:rFonts w:ascii="CMU Serif Roman" w:eastAsia="CMU Serif Roman" w:hAnsi="CMU Serif Roman" w:cs="CMU Serif Roman"/>
          <w:sz w:val="24"/>
          <w:szCs w:val="24"/>
        </w:rPr>
        <w:t xml:space="preserve">extinct </w:t>
      </w:r>
      <w:r w:rsidRPr="008B6D7A">
        <w:rPr>
          <w:rFonts w:ascii="CMU Serif Roman" w:eastAsia="CMU Serif Roman" w:hAnsi="CMU Serif Roman" w:cs="CMU Serif Roman"/>
          <w:sz w:val="24"/>
          <w:szCs w:val="24"/>
        </w:rPr>
        <w:t xml:space="preserve">calyptocephallelids through southern South America and Patagonia (Nicoli et al. 2022). </w:t>
      </w:r>
    </w:p>
    <w:p w14:paraId="53B1EB48" w14:textId="3C00745D"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t xml:space="preserve">Australian myobatrachoids however are not the only group with close connections to South America. The Pelodryadidae are a species rich (91 spp.) and morphologically diverse clade of Australasian frogs. Embedded within the primarily Neotropical treefrogs, they show a more recent late-Eocene divergence from their South American relatives the Phyllomedusidae, some 40 mya. Crown divergence of the pelodryadids occurred in the mid-to-late Oligocene (30 mya) before erupting into a </w:t>
      </w:r>
      <w:r w:rsidRPr="005B5F0B">
        <w:rPr>
          <w:rFonts w:ascii="CMU Serif Roman" w:hAnsi="CMU Serif Roman" w:cs="CMU Serif Roman"/>
          <w:sz w:val="24"/>
          <w:szCs w:val="24"/>
        </w:rPr>
        <w:lastRenderedPageBreak/>
        <w:t>radiation across Australia and New Guinea in the early Miocene. This timing has spurred speculation about the origins of pelodryadids either as part of a young Gondwanan group or more recent over-water dispersers from South America (Pyron 2014). Divergence between phyllomedusids and pelodryadids 40 mya aligns with the opening of the Drake Passage and separation of South America from Antarctica (Toumoulin 2020). Unfortunately this does not provide any certainty about how pelodryadids arrived in Australia. While the Brazil Current would have provided a favorable trajectory for rafting frogs, the over-water distance between South America and Australia remained immense. A more likely scenario is that pelodryadids dispersed from South America through Antarctica and into Australia. Climate reconstructions suggest warm temperate/tropical habitats across Antarctica which would have been suitable through a long period of the Eocene (Pross et al. 2012). Dispersal via Antarctic land bridges would have had to occur prior to the Eocene-Oligocene cooling (34 mya) that blanketed Antarctica beneath an ice sheet (van den Ende et al. 2017).</w:t>
      </w:r>
    </w:p>
    <w:p w14:paraId="28125B6E" w14:textId="62AC5DD0"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limnodynastids, myobatrachids, and pelodryadids, Australia’s youngest anuran radiation are the microhylids. Embedded deeply in the Asterophryinae subfamily, the two temporally adjacent clades (12–13 mya) of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exposed a landbridge between southern New Guinea and northern Australia (both Cape York and the Top End) and facilitated biotic exchange between these landmasses (Mitchell et al. 2014). The young age of these clades, and existence of two other species-rich incumbent frog clades in the pelodryadids and myobatrachoids potentially explains why Australian microhylids are relatively species poor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—5 spp.,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—18 spp.) and morphologically </w:t>
      </w:r>
      <w:r w:rsidRPr="008B6D7A">
        <w:rPr>
          <w:rFonts w:ascii="CMU Serif Roman" w:eastAsia="CMU Serif Roman" w:hAnsi="CMU Serif Roman" w:cs="CMU Serif Roman"/>
          <w:sz w:val="24"/>
          <w:szCs w:val="24"/>
        </w:rPr>
        <w:lastRenderedPageBreak/>
        <w:t xml:space="preserve">conservative compared to their New Guinean neighbors (200+ spp.), reflecting a pattern seen in monitor lizards (Pavón-Vázquez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ranid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native but not endemic to the continent, and can be found broadly across Australo-Papua, extending to just beyond the edge of the Sahul shelf (Reilly et al. 2022). It belongs to a clade of frogs distributed throughout southeast Asia, Wallacea, and Sahul, with other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likely a relatively young species (&lt;7 mya) with limited divergence between populations found in Wallacea and Sahul (Reilly et al. 2022). The broad distribution of </w:t>
      </w:r>
      <w:r w:rsidRPr="008B6D7A">
        <w:rPr>
          <w:rFonts w:ascii="CMU Serif Roman" w:eastAsia="CMU Serif Roman" w:hAnsi="CMU Serif Roman" w:cs="CMU Serif Roman"/>
          <w:i/>
          <w:sz w:val="24"/>
          <w:szCs w:val="24"/>
        </w:rPr>
        <w:t>P. daemeli</w:t>
      </w:r>
      <w:r w:rsidRPr="008B6D7A">
        <w:rPr>
          <w:rFonts w:ascii="CMU Serif Roman" w:eastAsia="CMU Serif Roman" w:hAnsi="CMU Serif Roman" w:cs="CMU Serif Roman"/>
          <w:sz w:val="24"/>
          <w:szCs w:val="24"/>
        </w:rPr>
        <w:t xml:space="preserve"> across Australo-Papua suggests either a very recent colonization of Australia or vicariant speciation followed by subsequent dispersal out of Australia and back into New Guinea and Wallacea. </w:t>
      </w:r>
    </w:p>
    <w:p w14:paraId="38041E67" w14:textId="0D0A9317"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exemplif</w:t>
      </w:r>
      <w:r w:rsidR="005D1720">
        <w:rPr>
          <w:rFonts w:ascii="CMU Serif Roman" w:eastAsia="CMU Serif Roman" w:hAnsi="CMU Serif Roman" w:cs="CMU Serif Roman"/>
          <w:sz w:val="24"/>
          <w:szCs w:val="24"/>
        </w:rPr>
        <w:t>ies</w:t>
      </w:r>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myo, (2) old colonizers (&gt;20 myo, &lt;40 myo) with varied origins, or (3) recent Asian immigrants (&lt;20 myo). The Limnodynastidae and Myobatrachidae fall undoubtedly into the Gondwanan group alongside ancient Australian radiations like Australidelphian marsupial mammals which include koalas, kangaroos, and Tasmanian devils; side-necked chelid turtles; and pygopodoid geckos which include the bizarre limbless pygopodids. These groups—with the exception of pygopodoids—have close links to South American relatives based on molecular and fossil evidence (Georges et al. 1999; Mitchell et al. 2014). While a Pelodryadidae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r w:rsidRPr="008B6D7A">
        <w:rPr>
          <w:rFonts w:ascii="CMU Serif Roman" w:eastAsia="CMU Serif Roman" w:hAnsi="CMU Serif Roman" w:cs="CMU Serif Roman"/>
          <w:sz w:val="24"/>
          <w:szCs w:val="24"/>
        </w:rPr>
        <w:lastRenderedPageBreak/>
        <w:t>(</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ran</w:t>
      </w:r>
      <w:r w:rsidR="000F471C">
        <w:rPr>
          <w:rFonts w:ascii="CMU Serif Roman" w:eastAsia="CMU Serif Roman" w:hAnsi="CMU Serif Roman" w:cs="CMU Serif Roman"/>
          <w:sz w:val="24"/>
          <w:szCs w:val="24"/>
        </w:rPr>
        <w:t>id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Papurana daemeli </w:t>
      </w:r>
      <w:r w:rsidRPr="008B6D7A">
        <w:rPr>
          <w:rFonts w:ascii="CMU Serif Roman" w:eastAsia="CMU Serif Roman" w:hAnsi="CMU Serif Roman" w:cs="CMU Serif Roman"/>
          <w:sz w:val="24"/>
          <w:szCs w:val="24"/>
        </w:rPr>
        <w:t>are relatively young colonizers from New Guinea with deeper origins in Asian groups. Both the Asterophryinae and Ranidae, to which these species belong, have a long history in the Sunda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(Esquerr</w:t>
      </w:r>
      <w:r w:rsidR="00FF56D2">
        <w:rPr>
          <w:rFonts w:ascii="CMU Serif Roman" w:eastAsia="CMU Serif Roman" w:hAnsi="CMU Serif Roman" w:cs="CMU Serif Roman"/>
          <w:sz w:val="24"/>
          <w:szCs w:val="24"/>
        </w:rPr>
        <w:t>é</w:t>
      </w:r>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(Marki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(Tallowin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(Roycroft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Australo-Papuan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likely idiosyncratic (Fig.1).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43BF9373"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 And while frogs are found across most of the Australian continent, their basic moisture requirements and desiccation sensitivity mean that Australian amphibian diversity shows a stark mesic-arid gradient (Fig.1), similar to that seen for birds and mammals, and the inverse of lizards (Powney et al. 2010). Not all has been lost in the red center though—several independent clades of dry-country inhabitants have evolved among Australia’s harsh sandy and stony deserts. </w:t>
      </w:r>
      <w:r w:rsidRPr="008B6D7A">
        <w:rPr>
          <w:rFonts w:ascii="CMU Serif Roman" w:eastAsia="CMU Serif Roman" w:hAnsi="CMU Serif Roman" w:cs="CMU Serif Roman"/>
          <w:i/>
          <w:sz w:val="24"/>
          <w:szCs w:val="24"/>
        </w:rPr>
        <w:lastRenderedPageBreak/>
        <w:t>Neobatrachus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Notaden,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 xml:space="preserve">Cyclorana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(commonly known as the water-holding frogs) are capable of growing epidermal cocoons to retain moisture that may see them through periods of extreme drought lasting from months to years (van Beurden 1980).</w:t>
      </w:r>
    </w:p>
    <w:p w14:paraId="44A471C9" w14:textId="6D07DAD5"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and morphology (Crump 2015, Duellman 1992, Sherratt et al. 2018). While we do not present data on these topics, our well-resolved phylogenetic hypothesis provides new context for the macroevolution of some of these extreme traits. Bizarre rearing habits such as raising young in stomachs (</w:t>
      </w:r>
      <w:r w:rsidRPr="008B6D7A">
        <w:rPr>
          <w:rFonts w:ascii="CMU Serif Roman" w:eastAsia="CMU Serif Roman" w:hAnsi="CMU Serif Roman" w:cs="CMU Serif Roman"/>
          <w:i/>
          <w:sz w:val="24"/>
          <w:szCs w:val="24"/>
        </w:rPr>
        <w:t>Rheobatrachus</w:t>
      </w:r>
      <w:r w:rsidRPr="008B6D7A">
        <w:rPr>
          <w:rFonts w:ascii="CMU Serif Roman" w:eastAsia="CMU Serif Roman" w:hAnsi="CMU Serif Roman" w:cs="CMU Serif Roman"/>
          <w:sz w:val="24"/>
          <w:szCs w:val="24"/>
        </w:rPr>
        <w:t>), hip-pockets (</w:t>
      </w:r>
      <w:r w:rsidRPr="008B6D7A">
        <w:rPr>
          <w:rFonts w:ascii="CMU Serif Roman" w:eastAsia="CMU Serif Roman" w:hAnsi="CMU Serif Roman" w:cs="CMU Serif Roman"/>
          <w:i/>
          <w:sz w:val="24"/>
          <w:szCs w:val="24"/>
        </w:rPr>
        <w:t>Assa</w:t>
      </w:r>
      <w:r w:rsidRPr="008B6D7A">
        <w:rPr>
          <w:rFonts w:ascii="CMU Serif Roman" w:eastAsia="CMU Serif Roman" w:hAnsi="CMU Serif Roman" w:cs="CMU Serif Roman"/>
          <w:sz w:val="24"/>
          <w:szCs w:val="24"/>
        </w:rPr>
        <w:t>), or subterranean nests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r w:rsidRPr="008B6D7A">
        <w:rPr>
          <w:rFonts w:ascii="CMU Serif Roman" w:eastAsia="CMU Serif Roman" w:hAnsi="CMU Serif Roman" w:cs="CMU Serif Roman"/>
          <w:i/>
          <w:sz w:val="24"/>
          <w:szCs w:val="24"/>
        </w:rPr>
        <w:t>Litoria dahlii</w:t>
      </w:r>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r w:rsidRPr="008B6D7A">
        <w:rPr>
          <w:rFonts w:ascii="CMU Serif Roman" w:eastAsia="CMU Serif Roman" w:hAnsi="CMU Serif Roman" w:cs="CMU Serif Roman"/>
          <w:i/>
          <w:sz w:val="24"/>
          <w:szCs w:val="24"/>
        </w:rPr>
        <w:t>Cyclorana</w:t>
      </w:r>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the adaptive capacity of pelodryadids. Myobatrachoids too have taken ecomorphology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r w:rsidRPr="008B6D7A">
        <w:rPr>
          <w:rFonts w:ascii="CMU Serif Roman" w:eastAsia="CMU Serif Roman" w:hAnsi="CMU Serif Roman" w:cs="CMU Serif Roman"/>
          <w:i/>
          <w:sz w:val="24"/>
          <w:szCs w:val="24"/>
        </w:rPr>
        <w:t>Myobatrachus gouldii</w:t>
      </w:r>
      <w:r w:rsidRPr="008B6D7A">
        <w:rPr>
          <w:rFonts w:ascii="CMU Serif Roman" w:eastAsia="CMU Serif Roman" w:hAnsi="CMU Serif Roman" w:cs="CMU Serif Roman"/>
          <w:sz w:val="24"/>
          <w:szCs w:val="24"/>
        </w:rPr>
        <w:t xml:space="preserve">. In pursuit of their backwards burrowing lifestyle and termite-heavy diet,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r w:rsidRPr="008B6D7A">
        <w:rPr>
          <w:rFonts w:ascii="CMU Serif Roman" w:eastAsia="CMU Serif Roman" w:hAnsi="CMU Serif Roman" w:cs="CMU Serif Roman"/>
          <w:i/>
          <w:sz w:val="24"/>
          <w:szCs w:val="24"/>
        </w:rPr>
        <w:t xml:space="preserve">Arenophryne,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06540CF8">
            <wp:extent cx="5935630"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35630" cy="7897491"/>
                    </a:xfrm>
                    <a:prstGeom prst="rect">
                      <a:avLst/>
                    </a:prstGeom>
                    <a:ln/>
                  </pic:spPr>
                </pic:pic>
              </a:graphicData>
            </a:graphic>
          </wp:inline>
        </w:drawing>
      </w:r>
    </w:p>
    <w:p w14:paraId="5110668C" w14:textId="467E7624" w:rsidR="008507FB"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Cophixalus infacetus, Austrochaperina robusta, Litoria fallax, Litoria dahlii, Litoria xanthomera, Myobatrachus gouldii, Spicospina flammocaerulea, Taudactylus acutirostris, Notaden bennettii, Mixophyes balbus.</w:t>
      </w:r>
    </w:p>
    <w:p w14:paraId="2662E921" w14:textId="77777777" w:rsidR="008507FB" w:rsidRDefault="008507FB" w:rsidP="008B6D7A">
      <w:pPr>
        <w:spacing w:line="360" w:lineRule="auto"/>
        <w:rPr>
          <w:rFonts w:ascii="CMU Serif Roman" w:eastAsia="CMU Serif Roman" w:hAnsi="CMU Serif Roman" w:cs="CMU Serif Roman"/>
          <w:i/>
          <w:sz w:val="24"/>
          <w:szCs w:val="24"/>
        </w:rPr>
      </w:pP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t>Conc</w:t>
      </w:r>
      <w:r w:rsidR="00000000" w:rsidRPr="008B6D7A">
        <w:rPr>
          <w:rFonts w:ascii="CMU Serif Roman" w:eastAsia="CMU Serif Roman" w:hAnsi="CMU Serif Roman" w:cs="CMU Serif Roman"/>
          <w:i/>
          <w:sz w:val="24"/>
          <w:szCs w:val="24"/>
        </w:rPr>
        <w:t>lusion</w:t>
      </w:r>
    </w:p>
    <w:p w14:paraId="526F35A0" w14:textId="55E06C19"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w:t>
      </w:r>
      <w:r w:rsidRPr="008B6D7A">
        <w:rPr>
          <w:rFonts w:ascii="CMU Serif Roman" w:eastAsia="CMU Serif Roman" w:hAnsi="CMU Serif Roman" w:cs="CMU Serif Roman"/>
          <w:sz w:val="24"/>
          <w:szCs w:val="24"/>
        </w:rPr>
        <w:lastRenderedPageBreak/>
        <w:t xml:space="preserve">forms, colors, and lifestyles. This success is potentially the result of the stratified temporal arrival of the three main frog clades and possibly exaggerated by their ecological differences. Our phylogenetic framework provides a foundation for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0F6915B7" w14:textId="77777777" w:rsidR="006211A3" w:rsidRPr="008B6D7A" w:rsidRDefault="006211A3" w:rsidP="008B6D7A">
      <w:pPr>
        <w:spacing w:line="360" w:lineRule="auto"/>
        <w:rPr>
          <w:rFonts w:ascii="CMU Serif Roman" w:eastAsia="CMU Serif Roman" w:hAnsi="CMU Serif Roman" w:cs="CMU Serif Roman"/>
          <w:sz w:val="24"/>
          <w:szCs w:val="24"/>
        </w:rPr>
      </w:pP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382BBE74"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Sequence alignments, analysis control files, and phylogenetic trees can be downloaded from Dryad: </w:t>
      </w:r>
      <w:r w:rsidRPr="008B6D7A">
        <w:rPr>
          <w:rFonts w:ascii="CMU Serif Roman" w:eastAsia="CMU Serif Roman" w:hAnsi="CMU Serif Roman" w:cs="CMU Serif Roman"/>
          <w:i/>
          <w:sz w:val="24"/>
          <w:szCs w:val="24"/>
        </w:rPr>
        <w:t>link to be updated upon submission</w:t>
      </w:r>
      <w:r w:rsidRPr="008B6D7A">
        <w:rPr>
          <w:rFonts w:ascii="CMU Serif Roman" w:eastAsia="CMU Serif Roman" w:hAnsi="CMU Serif Roman" w:cs="CMU Serif Roman"/>
          <w:sz w:val="24"/>
          <w:szCs w:val="24"/>
        </w:rPr>
        <w:t>.</w:t>
      </w:r>
    </w:p>
    <w:p w14:paraId="0136370B" w14:textId="77777777" w:rsidR="006211A3" w:rsidRPr="008B6D7A" w:rsidRDefault="006211A3"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Acknowledgments</w:t>
      </w:r>
    </w:p>
    <w:p w14:paraId="000AF24D" w14:textId="38335F3D"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Thank you to the curators and staff of the many Australian museums</w:t>
      </w:r>
      <w:r w:rsidR="0023457C">
        <w:rPr>
          <w:rFonts w:ascii="CMU Serif Roman" w:eastAsia="CMU Serif Roman" w:hAnsi="CMU Serif Roman" w:cs="CMU Serif Roman"/>
          <w:sz w:val="24"/>
          <w:szCs w:val="24"/>
        </w:rPr>
        <w:t xml:space="preserve"> and colleagues</w:t>
      </w:r>
      <w:r w:rsidRPr="008B6D7A">
        <w:rPr>
          <w:rFonts w:ascii="CMU Serif Roman" w:eastAsia="CMU Serif Roman" w:hAnsi="CMU Serif Roman" w:cs="CMU Serif Roman"/>
          <w:sz w:val="24"/>
          <w:szCs w:val="24"/>
        </w:rPr>
        <w:t xml:space="preserve"> for access to tissues and locality information</w:t>
      </w:r>
      <w:r w:rsidR="0023457C">
        <w:rPr>
          <w:rFonts w:ascii="CMU Serif Roman" w:eastAsia="CMU Serif Roman" w:hAnsi="CMU Serif Roman" w:cs="CMU Serif Roman"/>
          <w:sz w:val="24"/>
          <w:szCs w:val="24"/>
        </w:rPr>
        <w:t>, and to the technical staff at our institutions for support and generating the genetic data</w:t>
      </w:r>
      <w:r w:rsidRPr="008B6D7A">
        <w:rPr>
          <w:rFonts w:ascii="CMU Serif Roman" w:eastAsia="CMU Serif Roman" w:hAnsi="CMU Serif Roman" w:cs="CMU Serif Roman"/>
          <w:sz w:val="24"/>
          <w:szCs w:val="24"/>
        </w:rPr>
        <w:t xml:space="preserve"> that made this work possible.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AmphibiaWeb. (2022). </w:t>
      </w:r>
      <w:r w:rsidRPr="008B6D7A">
        <w:rPr>
          <w:rFonts w:ascii="CMU Serif Roman" w:eastAsia="CMU Serif Roman" w:hAnsi="CMU Serif Roman" w:cs="CMU Serif Roman"/>
          <w:i/>
          <w:color w:val="222222"/>
          <w:sz w:val="24"/>
          <w:szCs w:val="24"/>
          <w:highlight w:val="white"/>
        </w:rPr>
        <w:t>AmphibiaWeb: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Anstis,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Drost, H. G. (2021). </w:t>
      </w:r>
      <w:hyperlink r:id="rId8">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Bendle, J. A., Bohaty, S. M., Pross, J., Schouten, S., Tauxe, L., Stickley C. E., McKay, R. M., Röhl, U., Olney, M., Sluijs, A., Escutia, C., Brinkhuis,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Borowiec, M. L. (2016). AMAS: a fast tool for alignment manipulation and computing of summary statistics. </w:t>
      </w:r>
      <w:r w:rsidRPr="008B6D7A">
        <w:rPr>
          <w:rFonts w:ascii="CMU Serif Roman" w:eastAsia="CMU Serif Roman" w:hAnsi="CMU Serif Roman" w:cs="CMU Serif Roman"/>
          <w:i/>
          <w:color w:val="222222"/>
          <w:sz w:val="24"/>
          <w:szCs w:val="24"/>
          <w:highlight w:val="white"/>
        </w:rPr>
        <w:t>PeerJ</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Portik, D. M., Weijola,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&amp; Keogh, J. S. (2021). Phylogenomics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Steane, D. A., Joseph, L., Yeates, D. K., Jordan, G. J., Crayn,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Hutter, C. R., Wood Jr, P. L., Grismer,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Duellman,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sidRPr="001F270F">
        <w:rPr>
          <w:rFonts w:ascii="CMU Serif Roman" w:hAnsi="CMU Serif Roman" w:cs="CMU Serif Roman"/>
          <w:color w:val="222222"/>
          <w:sz w:val="24"/>
          <w:szCs w:val="24"/>
          <w:shd w:val="clear" w:color="auto" w:fill="FFFFFF"/>
        </w:rPr>
        <w:t xml:space="preserve">Esquerré, D., Donnellan, S., Brennan, I. G., Lemmon, A. R., Moriarty Lemmon, E., Zaher, H., </w:t>
      </w:r>
      <w:r>
        <w:rPr>
          <w:rFonts w:ascii="CMU Serif Roman" w:hAnsi="CMU Serif Roman" w:cs="CMU Serif Roman"/>
          <w:color w:val="222222"/>
          <w:sz w:val="24"/>
          <w:szCs w:val="24"/>
          <w:shd w:val="clear" w:color="auto" w:fill="FFFFFF"/>
        </w:rPr>
        <w:t xml:space="preserve">Grazziotin, F. G., </w:t>
      </w:r>
      <w:r w:rsidRPr="001F270F">
        <w:rPr>
          <w:rFonts w:ascii="CMU Serif Roman" w:hAnsi="CMU Serif Roman" w:cs="CMU Serif Roman"/>
          <w:color w:val="222222"/>
          <w:sz w:val="24"/>
          <w:szCs w:val="24"/>
          <w:shd w:val="clear" w:color="auto" w:fill="FFFFFF"/>
        </w:rPr>
        <w:t>&amp; Keogh, J. S. (2020). Phylogenomics,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Birrell,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t xml:space="preserve">Heinicke, M. P., Greenbaum, E., Jackman, T. R., &amp; Bauer, A. M. (2011). Phylogeny of a trans‐Wallacean radiation (Squamata, Gekkonidae, </w:t>
      </w:r>
      <w:r w:rsidRPr="00E074FB">
        <w:rPr>
          <w:rFonts w:ascii="CMU Serif Roman" w:hAnsi="CMU Serif Roman" w:cs="CMU Serif Roman"/>
          <w:i/>
          <w:iCs/>
          <w:color w:val="222222"/>
          <w:sz w:val="24"/>
          <w:szCs w:val="24"/>
          <w:shd w:val="clear" w:color="auto" w:fill="FFFFFF"/>
        </w:rPr>
        <w:t>Gehyra</w:t>
      </w:r>
      <w:r w:rsidRPr="00E074FB">
        <w:rPr>
          <w:rFonts w:ascii="CMU Serif Roman" w:hAnsi="CMU Serif Roman" w:cs="CMU Serif Roman"/>
          <w:color w:val="222222"/>
          <w:sz w:val="24"/>
          <w:szCs w:val="24"/>
          <w:shd w:val="clear" w:color="auto" w:fill="FFFFFF"/>
        </w:rPr>
        <w:t>) supports a single early colonization of Australia. </w:t>
      </w:r>
      <w:r w:rsidRPr="00E074FB">
        <w:rPr>
          <w:rFonts w:ascii="CMU Serif Roman" w:hAnsi="CMU Serif Roman" w:cs="CMU Serif Roman"/>
          <w:i/>
          <w:iCs/>
          <w:color w:val="222222"/>
          <w:sz w:val="24"/>
          <w:szCs w:val="24"/>
          <w:shd w:val="clear" w:color="auto" w:fill="FFFFFF"/>
        </w:rPr>
        <w:t>Zoologica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Hime, P. M., Lemmon, A. R., Lemmon, E. M., Prendini, E., Brown, J. M, Thomson, R. C, Kratovil, J. D, Noonan, B. P, Pyron, R A., Peloso, P. L V, Kortyna, M. L, Keogh, J. S., Donnellan, S. C, Mueller, R. L., Raxworthy, C. J, Kunte, K., Ron, S. R, Das, S., Gaitonde, N., Green, D. M, Labisko,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222222"/>
          <w:sz w:val="24"/>
          <w:szCs w:val="24"/>
          <w:highlight w:val="white"/>
        </w:rPr>
        <w:t xml:space="preserve">Weisrock, D. W. (2021). Phylogenomics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&amp; Aland, K. (2011). Two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(2013). A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boulder-pile habitat of Cape Melville,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Kalyaanamoorthy, S., Minh, B. Q., Wong, T. K., Von Haeseler, A., &amp; Jermiin, L. S. (2017). ModelFinder: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Katoh, K., &amp; Standley,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paleogeographically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phylogenomics.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Macphail, M. K., &amp; Hill, R. S. (2018). What was the vegetation in northwest Australia during the Paleogene, 66–23 million years ago?.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Mao, X., &amp; Retallack, G. (2019). Late Miocene drying of central Australia. </w:t>
      </w:r>
      <w:r w:rsidRPr="008B6D7A">
        <w:rPr>
          <w:rFonts w:ascii="CMU Serif Roman" w:eastAsia="CMU Serif Roman" w:hAnsi="CMU Serif Roman" w:cs="CMU Serif Roman"/>
          <w:i/>
          <w:color w:val="222222"/>
          <w:sz w:val="24"/>
          <w:szCs w:val="24"/>
          <w:highlight w:val="white"/>
        </w:rPr>
        <w:t>Palaeogeography, Palaeoclimatology, Palaeoecology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6015FE0F" w:rsidR="00983DF7" w:rsidRPr="00983DF7" w:rsidRDefault="00983DF7" w:rsidP="008B6D7A">
      <w:pPr>
        <w:spacing w:line="360" w:lineRule="auto"/>
        <w:ind w:left="720" w:hanging="720"/>
        <w:rPr>
          <w:rFonts w:ascii="CMU Serif Roman" w:eastAsia="CMU Serif Roman" w:hAnsi="CMU Serif Roman" w:cs="CMU Serif Roman"/>
          <w:color w:val="222222"/>
          <w:sz w:val="36"/>
          <w:szCs w:val="36"/>
          <w:highlight w:val="white"/>
        </w:rPr>
      </w:pPr>
      <w:r w:rsidRPr="00983DF7">
        <w:rPr>
          <w:rFonts w:ascii="CMU Serif Roman" w:hAnsi="CMU Serif Roman" w:cs="CMU Serif Roman"/>
          <w:color w:val="222222"/>
          <w:sz w:val="24"/>
          <w:szCs w:val="24"/>
          <w:shd w:val="clear" w:color="auto" w:fill="FFFFFF"/>
        </w:rPr>
        <w:t>Marki, P. Z., Jønsson, K. A., Irestedt, M., Nguyen, J. M., Rahbek, C., &amp; Fjeldså, J. (2017). Supermatrix phylogeny and biogeography of the Australasian Meliphagides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Haeseler,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Mörs, T., Reguero, M., Vasylan, D., (2020). First fossil frog from Antarctica: implications for Eocene high latitude climate conditions and Gondwanan cosmopolitanism of Australobatrachia.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Calyptocephalella (Anura: Australobatrachia)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Haeseler,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Prendini, E., Kraus, F., &amp; Raxworthy, C. J. (2015). Systematics and biogeography of the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frog (Anura: Ranidae)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lastRenderedPageBreak/>
        <w:t>Oliver, P. M., Heiniger, H., Hugall, A. F., Joseph, L., &amp; Mitchell, K. J. (2020). Oligocene divergence of frogmouth birds (Podargidae)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Palazzesi, L., Barreda,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Flora-Morphol. Distrib. Funct.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Pavón-Vázquez,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Powney, G. D., Grenyer, R., Orme, C. D. L., Owens, I. P. F., &amp; Meiri,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Pross J, Contreras L, Bijl PK, Greenwood DR, Bohaty SM, Schouten S, Bendle JA, Röhl U, Tauxe L, Raine JI, Huck CE, van de Flierdt T, Jamieson SSR, Stickley CE, van de Schootbrugge B, Escutia C, Brinkhuis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rPr>
        <w:t xml:space="preserve">Rannala,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Anstis,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lastRenderedPageBreak/>
        <w:t xml:space="preserve">Reilly, S. B., Arifin, U., Stubbs, A. L., Karin, B. R., Kaiser, H., Frederick, J. H., Arida, E., Iskandar, D. T., McGuire, J. A. (2022). Phylogenetic relationships of southern Wallacean ranid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Zootaxa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r w:rsidRPr="0029485E">
        <w:rPr>
          <w:rFonts w:ascii="CMU Serif Roman" w:hAnsi="CMU Serif Roman" w:cs="CMU Serif Roman"/>
          <w:color w:val="222222"/>
          <w:sz w:val="24"/>
          <w:szCs w:val="24"/>
          <w:shd w:val="clear" w:color="auto" w:fill="FFFFFF"/>
        </w:rPr>
        <w:t>Roycroft, E. J., Moussalli, A., &amp; Rowe, K. C. (2020). Phylogenomics uncovers confidence and conflict in the rapid radiation of Australo-Papuan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Schweizer, M., Seehausen, O., &amp; Hertwig,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Sherratt, E., Anstis,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04717654" w:rsidR="00193EB9" w:rsidRPr="00193EB9" w:rsidRDefault="00193EB9" w:rsidP="008B6D7A">
      <w:pPr>
        <w:spacing w:line="360" w:lineRule="auto"/>
        <w:ind w:left="720" w:hanging="720"/>
        <w:rPr>
          <w:rFonts w:ascii="CMU Serif Roman" w:eastAsia="CMU Serif Roman" w:hAnsi="CMU Serif Roman" w:cs="CMU Serif Roman"/>
          <w:color w:val="222222"/>
          <w:sz w:val="36"/>
          <w:szCs w:val="36"/>
          <w:highlight w:val="white"/>
        </w:rPr>
      </w:pPr>
      <w:r w:rsidRPr="00193EB9">
        <w:rPr>
          <w:rFonts w:ascii="CMU Serif Roman" w:hAnsi="CMU Serif Roman" w:cs="CMU Serif Roman"/>
          <w:color w:val="222222"/>
          <w:sz w:val="24"/>
          <w:szCs w:val="24"/>
          <w:shd w:val="clear" w:color="auto" w:fill="FFFFFF"/>
        </w:rPr>
        <w:t>Skinner, A., Hugall, A. F., &amp; Hutchinson, M. N. (2011). Lygosomine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r w:rsidRPr="007B66E0">
        <w:rPr>
          <w:rFonts w:ascii="CMU Serif Roman" w:hAnsi="CMU Serif Roman" w:cs="CMU Serif Roman"/>
          <w:color w:val="222222"/>
          <w:sz w:val="24"/>
          <w:szCs w:val="24"/>
          <w:shd w:val="clear" w:color="auto" w:fill="FFFFFF"/>
        </w:rPr>
        <w:t>Tallowin, O. J., Meiri, S., Donnellan, S. C., Richards, S. J., Austin, C. C., &amp; Oliver, P. M. (2020). The other side of the Sahulian coin: biogeography and evolution of Melanesian forest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Toumoulin, A., Donnadieu, Y., Ladant, JB, Batenburg, SJ, Poblete, F., &amp; Dupont, Nivet,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Beurden, E. K. (1980). Energy Metabolism of Dormant Australian Water-Holding Frogs (Cyclorana platycephalus). </w:t>
      </w:r>
      <w:r w:rsidRPr="008B6D7A">
        <w:rPr>
          <w:rFonts w:ascii="CMU Serif Roman" w:eastAsia="CMU Serif Roman" w:hAnsi="CMU Serif Roman" w:cs="CMU Serif Roman"/>
          <w:i/>
          <w:sz w:val="24"/>
          <w:szCs w:val="24"/>
          <w:highlight w:val="white"/>
        </w:rPr>
        <w:t>Copeia</w:t>
      </w:r>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Welzen, P. C. (2017). The existence and break-up of the Antarctic land bridge as indicated by both amphi-Pacific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Australo-Papuan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Rabiee, M., Sayyari, E., &amp; Mirarab,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48340E43" w14:textId="77777777" w:rsidR="005F226B" w:rsidRPr="008B6D7A" w:rsidRDefault="005F226B" w:rsidP="005F226B">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1. Australian frogs show a pattern of increasing species richness with precipitation</w:t>
      </w:r>
      <w:r>
        <w:rPr>
          <w:rFonts w:ascii="CMU Serif Roman" w:eastAsia="CMU Serif Roman" w:hAnsi="CMU Serif Roman" w:cs="CMU Serif Roman"/>
          <w:sz w:val="24"/>
          <w:szCs w:val="24"/>
        </w:rPr>
        <w:t>, and with time</w:t>
      </w:r>
      <w:r w:rsidRPr="008B6D7A">
        <w:rPr>
          <w:rFonts w:ascii="CMU Serif Roman" w:eastAsia="CMU Serif Roman" w:hAnsi="CMU Serif Roman" w:cs="CMU Serif Roman"/>
          <w:sz w:val="24"/>
          <w:szCs w:val="24"/>
        </w:rPr>
        <w:t>. Above, maps of richness for the three focal radiations (with Limnodynastidae and Myobatrachidae presented together as Myobatrachoidea) are plotted alongside a map showing total annual precipitation. Greatest richness is concentrated along Australia’s east coast, however this pattern falls away in cold areas of the far southeast, particularly in southwest Tasmania. Species occurrence records were collated from the Atlas of Living Australia (https://ala.org.au). Below, Australian radiations can be divided broadly into (1) relictual Gondwanan clades &gt;40 myo</w:t>
      </w:r>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E19F88A" w14:textId="77777777" w:rsidR="00C62FCE" w:rsidRDefault="00C62FCE" w:rsidP="00C62FCE">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w:t>
      </w:r>
      <w:r w:rsidRPr="008B6D7A">
        <w:rPr>
          <w:rFonts w:ascii="CMU Serif Roman" w:eastAsia="CMU Serif Roman" w:hAnsi="CMU Serif Roman" w:cs="CMU Serif Roman"/>
          <w:sz w:val="24"/>
          <w:szCs w:val="24"/>
        </w:rPr>
        <w:lastRenderedPageBreak/>
        <w:t xml:space="preserve">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Cophixalus infacetus, Austrochaperina robusta, Litoria fallax, Litoria dahlii, Litoria xanthomera, Myobatrachus gouldii, Spicospina flammocaerulea, Taudactylus acutirostris, Notaden bennettii, Mixophyes balbus.</w:t>
      </w:r>
    </w:p>
    <w:p w14:paraId="6CC0DD80" w14:textId="77777777" w:rsidR="006211A3" w:rsidRPr="008B6D7A" w:rsidRDefault="006211A3" w:rsidP="008B6D7A">
      <w:pPr>
        <w:spacing w:line="360" w:lineRule="auto"/>
        <w:jc w:val="both"/>
        <w:rPr>
          <w:rFonts w:ascii="CMU Serif Roman" w:eastAsia="CMU Serif Roman" w:hAnsi="CMU Serif Roman" w:cs="CMU Serif Roman"/>
          <w:color w:val="222222"/>
          <w:sz w:val="24"/>
          <w:szCs w:val="24"/>
          <w:highlight w:val="white"/>
        </w:rPr>
      </w:pPr>
    </w:p>
    <w:p w14:paraId="3DFE6CFD" w14:textId="77777777" w:rsidR="006211A3" w:rsidRPr="008B6D7A" w:rsidRDefault="00000000" w:rsidP="008B6D7A">
      <w:pPr>
        <w:spacing w:line="360" w:lineRule="auto"/>
        <w:jc w:val="both"/>
        <w:rPr>
          <w:rFonts w:ascii="CMU Serif Roman" w:eastAsia="CMU Serif Roman" w:hAnsi="CMU Serif Roman" w:cs="CMU Serif Roman"/>
          <w:sz w:val="24"/>
          <w:szCs w:val="24"/>
        </w:rPr>
      </w:pPr>
      <w:r w:rsidRPr="008B6D7A">
        <w:rPr>
          <w:rFonts w:ascii="CMU Serif Roman" w:hAnsi="CMU Serif Roman" w:cs="CMU Serif Roman"/>
          <w:sz w:val="24"/>
          <w:szCs w:val="24"/>
        </w:rPr>
        <w:br w:type="page"/>
      </w:r>
    </w:p>
    <w:p w14:paraId="64A7F88E" w14:textId="292F6AA1" w:rsidR="006211A3" w:rsidRPr="008B6D7A"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Supplementary Materials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r w:rsidR="005138AF" w:rsidRPr="005138AF">
        <w:rPr>
          <w:rFonts w:ascii="CMU Serif Roman" w:hAnsi="CMU Serif Roman" w:cs="CMU Serif Roman"/>
          <w:color w:val="2A2A2A"/>
          <w:sz w:val="24"/>
          <w:szCs w:val="24"/>
          <w:shd w:val="clear" w:color="auto" w:fill="FFFFFF"/>
        </w:rPr>
        <w:t>http://dx.doi.org/10.5061/dryad.[NNNN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12EFDC00" w:rsidR="00F511EB" w:rsidRPr="008B6D7A" w:rsidRDefault="005138AF" w:rsidP="008F20F3">
      <w:pPr>
        <w:spacing w:line="360" w:lineRule="auto"/>
        <w:rPr>
          <w:rFonts w:ascii="CMU Serif Roman" w:eastAsia="CMU Serif Roman" w:hAnsi="CMU Serif Roman" w:cs="CMU Serif Roman"/>
          <w:sz w:val="24"/>
          <w:szCs w:val="24"/>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1AF746D7"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Genus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Pipidae Pipa pipa</w:t>
            </w:r>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Rhinophrynidae</w:t>
            </w:r>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Rhinophrynus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Leiopelmatoidea</w:t>
            </w:r>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Ascaphidae</w:t>
            </w:r>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Ascaphus montanus</w:t>
            </w:r>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AscMon</w:t>
            </w:r>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Bombinatoridae</w:t>
            </w:r>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Bombina microdeladigitora</w:t>
            </w:r>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Alytidae</w:t>
            </w:r>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Alytes obstetricans</w:t>
            </w:r>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Scaphiopodidae</w:t>
            </w:r>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Spea hammondii</w:t>
            </w:r>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Pelodytidae</w:t>
            </w:r>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Pelodytes ibericus</w:t>
            </w:r>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Megophryidae</w:t>
            </w:r>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Leptolalax bourreti</w:t>
            </w:r>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Pelobatidae</w:t>
            </w:r>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Pelobates syriacus</w:t>
            </w:r>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Heleophrynidae</w:t>
            </w:r>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Heleophryne purcelli</w:t>
            </w:r>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Ptychadenidae</w:t>
            </w:r>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Ptychadena mascareniensis</w:t>
            </w:r>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Phrynobatrachidae</w:t>
            </w:r>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Phrynobatrachus keniensis</w:t>
            </w:r>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Phrynomatinae</w:t>
            </w:r>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Phrynomantis annectens</w:t>
            </w:r>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Otophryinae</w:t>
            </w:r>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Otophryne robusta</w:t>
            </w:r>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Gastrophryinae</w:t>
            </w:r>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Stereocyclops incrassatus</w:t>
            </w:r>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Scaphiophryinae</w:t>
            </w:r>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Scaphiophryne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Cophylinae</w:t>
            </w:r>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Plethodontohyla notosticta</w:t>
            </w:r>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Kalophryinae</w:t>
            </w:r>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Kalophrynus interlineatus</w:t>
            </w:r>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Dyscophinae</w:t>
            </w:r>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Dyscophus guineti</w:t>
            </w:r>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Kaloula picta</w:t>
            </w:r>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Microhyla berdmorei</w:t>
            </w:r>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Liophryne rhododactyla</w:t>
            </w:r>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Callulops doriae</w:t>
            </w:r>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Hylophorbus rainerguntheri</w:t>
            </w:r>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Genyophryne thomsoni</w:t>
            </w:r>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Barygenys flavigularis</w:t>
            </w:r>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Copiula pipilans</w:t>
            </w:r>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gracilipes</w:t>
            </w:r>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robusta</w:t>
            </w:r>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Oreophryne brachypus</w:t>
            </w:r>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Aphantophryne pansa</w:t>
            </w:r>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parkeri</w:t>
            </w:r>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balbus</w:t>
            </w:r>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bewaniensis</w:t>
            </w:r>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crepitans</w:t>
            </w:r>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infacetus</w:t>
            </w:r>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hosmeri</w:t>
            </w:r>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Calyptocephalellidae</w:t>
            </w:r>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Calyptocephalella gayi</w:t>
            </w:r>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214AB3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Rheobatrachidae</w:t>
            </w:r>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silus</w:t>
            </w:r>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B996B2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Rheobatrachidae</w:t>
            </w:r>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vitellinus</w:t>
            </w:r>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3D3AD4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Mixophyidae</w:t>
            </w:r>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balbus</w:t>
            </w:r>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7B7A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Mixophyidae</w:t>
            </w:r>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hihihorlo</w:t>
            </w:r>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Lechriodus fletcheri</w:t>
            </w:r>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Opisthodon ornatus</w:t>
            </w:r>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Heleioporus australiacus</w:t>
            </w:r>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Neobatrachus albipes</w:t>
            </w:r>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Notaden nichollsi</w:t>
            </w:r>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Limnodynastes dumerilii</w:t>
            </w:r>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Philoria sphagnicola</w:t>
            </w:r>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Adelotus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Taudactylus liemi</w:t>
            </w:r>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Paracrinia haswelli</w:t>
            </w:r>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Geocrinia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Assa darlingtoni</w:t>
            </w:r>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Bryobatrachus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Crinia signifera</w:t>
            </w:r>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Spicospina flammocaerulea</w:t>
            </w:r>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Uperoleia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Pseudophryne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Metacrinia nichollsi</w:t>
            </w:r>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Arenophryne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Myobatrachus gouldii</w:t>
            </w:r>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Hemiphractidae</w:t>
            </w:r>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Stefania evansi</w:t>
            </w:r>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Ceratophryidae</w:t>
            </w:r>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Ceratophrys cornuta</w:t>
            </w:r>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Cophomantinae</w:t>
            </w:r>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Hypsiboas crepitans</w:t>
            </w:r>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Lophohylinae</w:t>
            </w:r>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Osteopilus dominicensis</w:t>
            </w:r>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Scinaxinae</w:t>
            </w:r>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Scinax staufferi</w:t>
            </w:r>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Pseudinae</w:t>
            </w:r>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Pseudis paradoxa</w:t>
            </w:r>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Dendropsophinae</w:t>
            </w:r>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Dendropsophus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Acrisinae</w:t>
            </w:r>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Pseudacris nigrita</w:t>
            </w:r>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PseNig</w:t>
            </w:r>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Hylinae</w:t>
            </w:r>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Smilisca fodiens</w:t>
            </w:r>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Cruziohyla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Phyllomedusa vallantii</w:t>
            </w:r>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citropa</w:t>
            </w:r>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Nyctimystes dayi</w:t>
            </w:r>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genimaculata</w:t>
            </w:r>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wilcoxii</w:t>
            </w:r>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andiirrmalin</w:t>
            </w:r>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xanthomera</w:t>
            </w:r>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gilleni</w:t>
            </w:r>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raniformis</w:t>
            </w:r>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thesaurensis</w:t>
            </w:r>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dahlii</w:t>
            </w:r>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Cyclorana cultripes</w:t>
            </w:r>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infrafrenata</w:t>
            </w:r>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brevipalmata</w:t>
            </w:r>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Nyctimystes disrupta</w:t>
            </w:r>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revelata</w:t>
            </w:r>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burrowsi</w:t>
            </w:r>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tyleri</w:t>
            </w:r>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balatus</w:t>
            </w:r>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adelaidensis</w:t>
            </w:r>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angiana</w:t>
            </w:r>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fallax</w:t>
            </w:r>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tornieri</w:t>
            </w:r>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S2. Fossil calibrations implemented in MCMCtree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Liaobatrachus zhaoi</w:t>
            </w:r>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Alytoidea</w:t>
            </w:r>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Iberobatrachus angelae</w:t>
            </w:r>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Pipanura</w:t>
            </w:r>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Rhadinosteus parvus</w:t>
            </w:r>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Pipoidea</w:t>
            </w:r>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Neusibatrachus wilferti</w:t>
            </w:r>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Pipidae</w:t>
            </w:r>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Pachycentra taqueti</w:t>
            </w:r>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Pelobatoidea</w:t>
            </w:r>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Elkobatrachus brocki</w:t>
            </w:r>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Pelodytes + (Pelobatidae + Megophryidae)</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Miopelodytes gilmorei</w:t>
            </w:r>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Pelobatidae + Megophryidae</w:t>
            </w:r>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Macropelobates osborni</w:t>
            </w:r>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Acosmanura</w:t>
            </w:r>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Eurycephalella alcinae</w:t>
            </w:r>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Neobatrachia</w:t>
            </w:r>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Beelzebufo ampinga</w:t>
            </w:r>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Myobatrachoidea</w:t>
            </w:r>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Calyptocephalella pichileufensis</w:t>
            </w:r>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Ranoidea</w:t>
            </w:r>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Thamastosaurus gezei</w:t>
            </w:r>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Rage and Rocek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Ptychadena + Phrynobatrachus</w:t>
            </w:r>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Ptychadenidae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rot="16200000">
                      <a:off x="0" y="0"/>
                      <a:ext cx="3305015" cy="4770292"/>
                    </a:xfrm>
                    <a:prstGeom prst="rect">
                      <a:avLst/>
                    </a:prstGeom>
                    <a:ln/>
                  </pic:spPr>
                </pic:pic>
              </a:graphicData>
            </a:graphic>
          </wp:inline>
        </w:drawing>
      </w: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lastRenderedPageBreak/>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S2. Basic summary statistics of the 450 locus alignments and gene trees. Top row shows histograms of the number of taxa in (max=101, min=11) and length of each alignment. Bottom row shows gene tree--species tree distances as quartet dissimilarity scores and Robinson Foulds distances, two different measures of topological similarity. Both quartet dissimilarity and RF scores are estimated by first subsetting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5B7403B4">
            <wp:extent cx="4885289" cy="734205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885289" cy="7342053"/>
                    </a:xfrm>
                    <a:prstGeom prst="rect">
                      <a:avLst/>
                    </a:prstGeom>
                    <a:ln/>
                  </pic:spPr>
                </pic:pic>
              </a:graphicData>
            </a:graphic>
          </wp:inline>
        </w:drawing>
      </w:r>
    </w:p>
    <w:p w14:paraId="4A65EB0F" w14:textId="07ADC482"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S4. Species tree of Australian frogs and appropriate outgroup taxa estimated using ASTRAL with locus trees estimated by IQTREE as input. Phylogenetic resolution among major frog groups and within Australian frog clades is consistently high. Support values </w:t>
      </w:r>
      <w:r w:rsidRPr="008B6D7A">
        <w:rPr>
          <w:rFonts w:ascii="CMU Serif Roman" w:eastAsia="CMU Serif Roman" w:hAnsi="CMU Serif Roman" w:cs="CMU Serif Roman"/>
          <w:sz w:val="24"/>
          <w:szCs w:val="24"/>
        </w:rPr>
        <w:lastRenderedPageBreak/>
        <w:t xml:space="preserve">are shown at nodes and colored according to local posterior probabilities (LPP), values &gt;0.9 are considered strongly supported and not indicated at nodes (white circles). </w:t>
      </w:r>
    </w:p>
    <w:p w14:paraId="305864A7" w14:textId="02385EA7"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0060B5DA" w:rsidR="00F42E83" w:rsidRPr="008B6D7A"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Figure S5. Species tree of Australian and outgroup frogs estimated with ASTRAL from IQTREE genetrees and time-calibrated with MCMCtree.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sectPr w:rsidR="00F42E83" w:rsidRPr="008B6D7A" w:rsidSect="005846CD">
      <w:headerReference w:type="even" r:id="rId15"/>
      <w:headerReference w:type="default" r:id="rId16"/>
      <w:footerReference w:type="even" r:id="rId17"/>
      <w:footerReference w:type="default" r:id="rId18"/>
      <w:pgSz w:w="12240" w:h="15840"/>
      <w:pgMar w:top="1440" w:right="1440" w:bottom="1440" w:left="1440"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4960D" w14:textId="77777777" w:rsidR="00BA60C7" w:rsidRDefault="00BA60C7">
      <w:pPr>
        <w:spacing w:line="240" w:lineRule="auto"/>
      </w:pPr>
      <w:r>
        <w:separator/>
      </w:r>
    </w:p>
  </w:endnote>
  <w:endnote w:type="continuationSeparator" w:id="0">
    <w:p w14:paraId="252E842A" w14:textId="77777777" w:rsidR="00BA60C7" w:rsidRDefault="00BA60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9207E" w14:textId="77777777" w:rsidR="00BA60C7" w:rsidRDefault="00BA60C7">
      <w:pPr>
        <w:spacing w:line="240" w:lineRule="auto"/>
      </w:pPr>
      <w:r>
        <w:separator/>
      </w:r>
    </w:p>
  </w:footnote>
  <w:footnote w:type="continuationSeparator" w:id="0">
    <w:p w14:paraId="67AA89CA" w14:textId="77777777" w:rsidR="00BA60C7" w:rsidRDefault="00BA60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E65F8"/>
    <w:rsid w:val="000F471C"/>
    <w:rsid w:val="00116712"/>
    <w:rsid w:val="00193EB9"/>
    <w:rsid w:val="001F270F"/>
    <w:rsid w:val="001F5887"/>
    <w:rsid w:val="00205EA3"/>
    <w:rsid w:val="00230300"/>
    <w:rsid w:val="0023457C"/>
    <w:rsid w:val="0029485E"/>
    <w:rsid w:val="002A4C2F"/>
    <w:rsid w:val="002D7687"/>
    <w:rsid w:val="002E488F"/>
    <w:rsid w:val="002F7EDC"/>
    <w:rsid w:val="003848CB"/>
    <w:rsid w:val="003875B4"/>
    <w:rsid w:val="00487D64"/>
    <w:rsid w:val="004A1C42"/>
    <w:rsid w:val="004A49FE"/>
    <w:rsid w:val="004A631F"/>
    <w:rsid w:val="004C44C3"/>
    <w:rsid w:val="00506F5B"/>
    <w:rsid w:val="005138AF"/>
    <w:rsid w:val="00516468"/>
    <w:rsid w:val="00561738"/>
    <w:rsid w:val="005846CD"/>
    <w:rsid w:val="005B5F0B"/>
    <w:rsid w:val="005C38D1"/>
    <w:rsid w:val="005C3BD9"/>
    <w:rsid w:val="005D1720"/>
    <w:rsid w:val="005E04E9"/>
    <w:rsid w:val="005E0704"/>
    <w:rsid w:val="005F226B"/>
    <w:rsid w:val="006211A3"/>
    <w:rsid w:val="0065677B"/>
    <w:rsid w:val="006613DD"/>
    <w:rsid w:val="0066156F"/>
    <w:rsid w:val="00661D48"/>
    <w:rsid w:val="00665EC2"/>
    <w:rsid w:val="00691BEF"/>
    <w:rsid w:val="006C7EF9"/>
    <w:rsid w:val="00790C08"/>
    <w:rsid w:val="007A595C"/>
    <w:rsid w:val="007B66E0"/>
    <w:rsid w:val="007F79D8"/>
    <w:rsid w:val="00813DBE"/>
    <w:rsid w:val="008252A7"/>
    <w:rsid w:val="008507FB"/>
    <w:rsid w:val="00855DFE"/>
    <w:rsid w:val="008B05FB"/>
    <w:rsid w:val="008B10D1"/>
    <w:rsid w:val="008B6D7A"/>
    <w:rsid w:val="008E7692"/>
    <w:rsid w:val="008F20F3"/>
    <w:rsid w:val="008F6D20"/>
    <w:rsid w:val="00934E4A"/>
    <w:rsid w:val="009375C7"/>
    <w:rsid w:val="009550FB"/>
    <w:rsid w:val="00983DF7"/>
    <w:rsid w:val="00990995"/>
    <w:rsid w:val="009B6D1C"/>
    <w:rsid w:val="009B7A4C"/>
    <w:rsid w:val="009E1C15"/>
    <w:rsid w:val="00A017C3"/>
    <w:rsid w:val="00A40E02"/>
    <w:rsid w:val="00A65A49"/>
    <w:rsid w:val="00A66BFE"/>
    <w:rsid w:val="00A6703E"/>
    <w:rsid w:val="00A80045"/>
    <w:rsid w:val="00AA2025"/>
    <w:rsid w:val="00AB17B0"/>
    <w:rsid w:val="00AD3BA4"/>
    <w:rsid w:val="00B373FF"/>
    <w:rsid w:val="00B43BED"/>
    <w:rsid w:val="00B55B94"/>
    <w:rsid w:val="00BA60C7"/>
    <w:rsid w:val="00BD2F0E"/>
    <w:rsid w:val="00BD6470"/>
    <w:rsid w:val="00C10FC2"/>
    <w:rsid w:val="00C26D25"/>
    <w:rsid w:val="00C51F0A"/>
    <w:rsid w:val="00C62FCE"/>
    <w:rsid w:val="00CB1080"/>
    <w:rsid w:val="00CD6D43"/>
    <w:rsid w:val="00CD79C9"/>
    <w:rsid w:val="00CF456A"/>
    <w:rsid w:val="00D1669F"/>
    <w:rsid w:val="00D17033"/>
    <w:rsid w:val="00D324B9"/>
    <w:rsid w:val="00D36902"/>
    <w:rsid w:val="00D55B80"/>
    <w:rsid w:val="00D56E82"/>
    <w:rsid w:val="00D65904"/>
    <w:rsid w:val="00DE4E1E"/>
    <w:rsid w:val="00E074FB"/>
    <w:rsid w:val="00E9548F"/>
    <w:rsid w:val="00EA0BC7"/>
    <w:rsid w:val="00EB7EAC"/>
    <w:rsid w:val="00EE3A9A"/>
    <w:rsid w:val="00F2385E"/>
    <w:rsid w:val="00F36362"/>
    <w:rsid w:val="00F42E83"/>
    <w:rsid w:val="00F511EB"/>
    <w:rsid w:val="00F704A8"/>
    <w:rsid w:val="00F83285"/>
    <w:rsid w:val="00FA2501"/>
    <w:rsid w:val="00FB31A0"/>
    <w:rsid w:val="00FC6527"/>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ink.springer.com/protocol/10.1007%2F978-1-0716-1134-0_1" TargetMode="External"/><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37</Pages>
  <Words>7311</Words>
  <Characters>41678</Characters>
  <Application>Microsoft Office Word</Application>
  <DocSecurity>0</DocSecurity>
  <Lines>347</Lines>
  <Paragraphs>97</Paragraphs>
  <ScaleCrop>false</ScaleCrop>
  <Company/>
  <LinksUpToDate>false</LinksUpToDate>
  <CharactersWithSpaces>48892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108</cp:revision>
  <dcterms:created xsi:type="dcterms:W3CDTF">2022-12-20T11:37:00Z</dcterms:created>
  <dcterms:modified xsi:type="dcterms:W3CDTF">2023-01-03T15:09:00Z</dcterms:modified>
</cp:coreProperties>
</file>